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015pt;width:595.3pt;height:130.85pt;mso-position-horizontal-relative:page;mso-position-vertical-relative:page;z-index:-15773184" id="docshapegroup1" coordorigin="0,0" coordsize="11906,2617">
            <v:shape style="position:absolute;left:2024;top:0;width:9882;height:2382" type="#_x0000_t75" id="docshape2" stroked="false">
              <v:imagedata r:id="rId5" o:title=""/>
            </v:shape>
            <v:rect style="position:absolute;left:0;top:2163;width:11906;height:454" id="docshape3" filled="true" fillcolor="#9f1d35" stroked="false">
              <v:fill type="solid"/>
            </v:rect>
            <v:shape style="position:absolute;left:410;top:311;width:1942;height:1659" type="#_x0000_t75" id="docshape4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466;top:359;width:8803;height:1538" type="#_x0000_t202" id="docshape5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Narrow"/>
                        <w:b/>
                        <w:sz w:val="134"/>
                      </w:rPr>
                    </w:pPr>
                    <w:r>
                      <w:rPr>
                        <w:rFonts w:ascii="Arial Narrow"/>
                        <w:b/>
                        <w:color w:val="003593"/>
                        <w:spacing w:val="-27"/>
                        <w:sz w:val="134"/>
                        <w:shd w:fill="FFFFFF" w:color="auto" w:val="clear"/>
                      </w:rPr>
                      <w:t>CFI</w:t>
                    </w:r>
                    <w:r>
                      <w:rPr>
                        <w:rFonts w:ascii="Arial Narrow"/>
                        <w:b/>
                        <w:color w:val="003593"/>
                        <w:spacing w:val="-81"/>
                        <w:sz w:val="134"/>
                        <w:shd w:fill="FFFFFF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9F1D35"/>
                        <w:spacing w:val="-30"/>
                        <w:sz w:val="134"/>
                        <w:shd w:fill="FFFFFF" w:color="auto" w:val="clear"/>
                      </w:rPr>
                      <w:t>News</w:t>
                    </w:r>
                    <w:r>
                      <w:rPr>
                        <w:rFonts w:ascii="Arial Narrow"/>
                        <w:b/>
                        <w:color w:val="9F1D35"/>
                        <w:spacing w:val="-80"/>
                        <w:sz w:val="134"/>
                        <w:shd w:fill="FFFFFF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9F1D35"/>
                        <w:spacing w:val="-41"/>
                        <w:sz w:val="134"/>
                        <w:shd w:fill="FFFFFF" w:color="auto" w:val="clear"/>
                      </w:rPr>
                      <w:t>Insights</w:t>
                    </w:r>
                  </w:p>
                </w:txbxContent>
              </v:textbox>
              <w10:wrap type="none"/>
            </v:shape>
            <v:shape style="position:absolute;left:680;top:2227;width:3228;height:291" type="#_x0000_t202" id="docshape6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Christian</w:t>
                    </w:r>
                    <w:r>
                      <w:rPr>
                        <w:b/>
                        <w:color w:val="FFFFFF"/>
                        <w:spacing w:val="-4"/>
                        <w:sz w:val="26"/>
                      </w:rPr>
                      <w:t> </w:t>
                    </w:r>
                    <w:r>
                      <w:rPr>
                        <w:b/>
                        <w:color w:val="FFFFFF"/>
                        <w:sz w:val="26"/>
                      </w:rPr>
                      <w:t>Friends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color w:val="FFFFFF"/>
                        <w:sz w:val="26"/>
                      </w:rPr>
                      <w:t>of</w:t>
                    </w:r>
                    <w:r>
                      <w:rPr>
                        <w:b/>
                        <w:color w:val="FFFFFF"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color w:val="FFFFFF"/>
                        <w:sz w:val="26"/>
                      </w:rPr>
                      <w:t>Israel</w:t>
                    </w:r>
                  </w:p>
                </w:txbxContent>
              </v:textbox>
              <w10:wrap type="none"/>
            </v:shape>
            <v:shape style="position:absolute;left:4501;top:2227;width:3410;height:291" type="#_x0000_t202" id="docshape7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hyperlink r:id="rId7">
                      <w:r>
                        <w:rPr>
                          <w:b/>
                          <w:color w:val="FFFFFF"/>
                          <w:sz w:val="26"/>
                        </w:rPr>
                        <w:t>feedback@cfijerusalem.org</w:t>
                      </w:r>
                    </w:hyperlink>
                  </w:p>
                </w:txbxContent>
              </v:textbox>
              <w10:wrap type="none"/>
            </v:shape>
            <v:shape style="position:absolute;left:8537;top:2227;width:2709;height:291" type="#_x0000_t202" id="docshape8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hyperlink r:id="rId8">
                      <w:r>
                        <w:rPr>
                          <w:b/>
                          <w:color w:val="FFFFFF"/>
                          <w:sz w:val="26"/>
                        </w:rPr>
                        <w:t>www.cfijerusalem.org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9"/>
        </w:rPr>
      </w:pPr>
    </w:p>
    <w:p>
      <w:pPr>
        <w:spacing w:before="92"/>
        <w:ind w:left="6542" w:right="0" w:firstLine="0"/>
        <w:jc w:val="left"/>
        <w:rPr>
          <w:sz w:val="24"/>
        </w:rPr>
      </w:pPr>
      <w:r>
        <w:rPr>
          <w:sz w:val="24"/>
        </w:rPr>
        <w:t>December</w:t>
      </w:r>
      <w:r>
        <w:rPr>
          <w:spacing w:val="-8"/>
          <w:sz w:val="24"/>
        </w:rPr>
        <w:t> </w:t>
      </w:r>
      <w:r>
        <w:rPr>
          <w:sz w:val="24"/>
        </w:rPr>
        <w:t>25,</w:t>
      </w:r>
      <w:r>
        <w:rPr>
          <w:spacing w:val="-8"/>
          <w:sz w:val="24"/>
        </w:rPr>
        <w:t> </w:t>
      </w:r>
      <w:r>
        <w:rPr>
          <w:sz w:val="24"/>
        </w:rPr>
        <w:t>2021</w:t>
      </w:r>
      <w:r>
        <w:rPr>
          <w:spacing w:val="-7"/>
          <w:sz w:val="24"/>
        </w:rPr>
        <w:t> </w:t>
      </w:r>
      <w:r>
        <w:rPr>
          <w:sz w:val="24"/>
        </w:rPr>
        <w:t>/Jewish</w:t>
      </w:r>
      <w:r>
        <w:rPr>
          <w:spacing w:val="-11"/>
          <w:sz w:val="24"/>
        </w:rPr>
        <w:t> </w:t>
      </w:r>
      <w:r>
        <w:rPr>
          <w:sz w:val="24"/>
        </w:rPr>
        <w:t>Year</w:t>
      </w:r>
      <w:r>
        <w:rPr>
          <w:spacing w:val="-7"/>
          <w:sz w:val="24"/>
        </w:rPr>
        <w:t> </w:t>
      </w:r>
      <w:r>
        <w:rPr>
          <w:sz w:val="24"/>
        </w:rPr>
        <w:t>5782</w:t>
      </w:r>
    </w:p>
    <w:p>
      <w:pPr>
        <w:pStyle w:val="Title"/>
      </w:pPr>
      <w:r>
        <w:rPr>
          <w:color w:val="003593"/>
        </w:rPr>
        <w:t>Jewish</w:t>
      </w:r>
      <w:r>
        <w:rPr>
          <w:color w:val="003593"/>
          <w:spacing w:val="-5"/>
        </w:rPr>
        <w:t> </w:t>
      </w:r>
      <w:r>
        <w:rPr>
          <w:color w:val="003593"/>
        </w:rPr>
        <w:t>Housing</w:t>
      </w:r>
      <w:r>
        <w:rPr>
          <w:color w:val="003593"/>
          <w:spacing w:val="-5"/>
        </w:rPr>
        <w:t> </w:t>
      </w:r>
      <w:r>
        <w:rPr>
          <w:color w:val="003593"/>
        </w:rPr>
        <w:t>or</w:t>
      </w:r>
      <w:r>
        <w:rPr>
          <w:color w:val="003593"/>
          <w:spacing w:val="-3"/>
        </w:rPr>
        <w:t> </w:t>
      </w:r>
      <w:r>
        <w:rPr>
          <w:color w:val="003593"/>
        </w:rPr>
        <w:t>Shared</w:t>
      </w:r>
      <w:r>
        <w:rPr>
          <w:color w:val="003593"/>
          <w:spacing w:val="-28"/>
        </w:rPr>
        <w:t> </w:t>
      </w:r>
      <w:r>
        <w:rPr>
          <w:color w:val="003593"/>
        </w:rPr>
        <w:t>Airport</w:t>
      </w:r>
    </w:p>
    <w:p>
      <w:pPr>
        <w:spacing w:before="32"/>
        <w:ind w:left="106" w:right="0" w:firstLine="0"/>
        <w:jc w:val="left"/>
        <w:rPr>
          <w:b/>
          <w:sz w:val="44"/>
        </w:rPr>
      </w:pPr>
      <w:r>
        <w:rPr>
          <w:b/>
          <w:color w:val="003593"/>
          <w:sz w:val="44"/>
        </w:rPr>
        <w:t>Dilemma</w:t>
      </w:r>
      <w:r>
        <w:rPr>
          <w:b/>
          <w:color w:val="003593"/>
          <w:spacing w:val="-6"/>
          <w:sz w:val="44"/>
        </w:rPr>
        <w:t> </w:t>
      </w:r>
      <w:r>
        <w:rPr>
          <w:b/>
          <w:color w:val="003593"/>
          <w:sz w:val="44"/>
        </w:rPr>
        <w:t>of</w:t>
      </w:r>
      <w:r>
        <w:rPr>
          <w:b/>
          <w:color w:val="003593"/>
          <w:spacing w:val="-5"/>
          <w:sz w:val="44"/>
        </w:rPr>
        <w:t> </w:t>
      </w:r>
      <w:r>
        <w:rPr>
          <w:b/>
          <w:color w:val="003593"/>
          <w:sz w:val="44"/>
        </w:rPr>
        <w:t>Construction</w:t>
      </w:r>
      <w:r>
        <w:rPr>
          <w:b/>
          <w:color w:val="003593"/>
          <w:spacing w:val="-6"/>
          <w:sz w:val="44"/>
        </w:rPr>
        <w:t> </w:t>
      </w:r>
      <w:r>
        <w:rPr>
          <w:b/>
          <w:color w:val="003593"/>
          <w:sz w:val="44"/>
        </w:rPr>
        <w:t>at</w:t>
      </w:r>
      <w:r>
        <w:rPr>
          <w:b/>
          <w:color w:val="003593"/>
          <w:spacing w:val="-21"/>
          <w:sz w:val="44"/>
        </w:rPr>
        <w:t> </w:t>
      </w:r>
      <w:r>
        <w:rPr>
          <w:b/>
          <w:color w:val="003593"/>
          <w:sz w:val="44"/>
        </w:rPr>
        <w:t>Atarot</w:t>
      </w:r>
    </w:p>
    <w:p>
      <w:pPr>
        <w:pStyle w:val="BodyText"/>
        <w:spacing w:before="8"/>
        <w:rPr>
          <w:b/>
          <w:sz w:val="14"/>
        </w:rPr>
      </w:pPr>
    </w:p>
    <w:p>
      <w:pPr>
        <w:pStyle w:val="BodyText"/>
        <w:spacing w:line="237" w:lineRule="auto" w:before="95"/>
        <w:ind w:left="120" w:right="153"/>
        <w:jc w:val="both"/>
      </w:pPr>
      <w:r>
        <w:rPr/>
        <w:t>There is an area of contention between not only the Israeli and Arab local communities within Jerusalem</w:t>
      </w:r>
      <w:r>
        <w:rPr>
          <w:spacing w:val="1"/>
        </w:rPr>
        <w:t> </w:t>
      </w:r>
      <w:r>
        <w:rPr/>
        <w:t>concerning building plans but also between national and international ideologies that have differing opinions</w:t>
      </w:r>
      <w:r>
        <w:rPr>
          <w:spacing w:val="1"/>
        </w:rPr>
        <w:t> </w:t>
      </w:r>
      <w:r>
        <w:rPr/>
        <w:t>about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path</w:t>
      </w:r>
      <w:r>
        <w:rPr>
          <w:spacing w:val="-9"/>
        </w:rPr>
        <w:t> </w:t>
      </w:r>
      <w:r>
        <w:rPr/>
        <w:t>forward</w:t>
      </w:r>
      <w:r>
        <w:rPr>
          <w:spacing w:val="-8"/>
        </w:rPr>
        <w:t> </w:t>
      </w:r>
      <w:r>
        <w:rPr/>
        <w:t>to</w:t>
      </w:r>
      <w:r>
        <w:rPr>
          <w:spacing w:val="-10"/>
        </w:rPr>
        <w:t> </w:t>
      </w:r>
      <w:r>
        <w:rPr/>
        <w:t>eliminate</w:t>
      </w:r>
      <w:r>
        <w:rPr>
          <w:spacing w:val="-9"/>
        </w:rPr>
        <w:t> </w:t>
      </w:r>
      <w:r>
        <w:rPr/>
        <w:t>hostility</w:t>
      </w:r>
      <w:r>
        <w:rPr>
          <w:spacing w:val="-9"/>
        </w:rPr>
        <w:t> </w:t>
      </w:r>
      <w:r>
        <w:rPr/>
        <w:t>within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city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what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makeup</w:t>
      </w:r>
      <w:r>
        <w:rPr>
          <w:spacing w:val="-9"/>
        </w:rPr>
        <w:t> </w:t>
      </w:r>
      <w:r>
        <w:rPr/>
        <w:t>or</w:t>
      </w:r>
      <w:r>
        <w:rPr>
          <w:spacing w:val="-10"/>
        </w:rPr>
        <w:t> </w:t>
      </w:r>
      <w:r>
        <w:rPr/>
        <w:t>definition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9"/>
        </w:rPr>
        <w:t> </w:t>
      </w:r>
      <w:r>
        <w:rPr/>
        <w:t>city,</w:t>
      </w:r>
      <w:r>
        <w:rPr>
          <w:spacing w:val="-9"/>
        </w:rPr>
        <w:t> </w:t>
      </w:r>
      <w:r>
        <w:rPr/>
        <w:t>God’s</w:t>
      </w:r>
      <w:r>
        <w:rPr>
          <w:spacing w:val="1"/>
        </w:rPr>
        <w:t> </w:t>
      </w:r>
      <w:r>
        <w:rPr>
          <w:spacing w:val="-1"/>
        </w:rPr>
        <w:t>city,</w:t>
      </w:r>
      <w:r>
        <w:rPr>
          <w:spacing w:val="-4"/>
        </w:rPr>
        <w:t> </w:t>
      </w:r>
      <w:r>
        <w:rPr>
          <w:spacing w:val="-1"/>
        </w:rPr>
        <w:t>should</w:t>
      </w:r>
      <w:r>
        <w:rPr>
          <w:spacing w:val="-4"/>
        </w:rPr>
        <w:t> </w:t>
      </w:r>
      <w:r>
        <w:rPr>
          <w:spacing w:val="-1"/>
        </w:rPr>
        <w:t>ultimately</w:t>
      </w:r>
      <w:r>
        <w:rPr>
          <w:spacing w:val="-4"/>
        </w:rPr>
        <w:t> </w:t>
      </w:r>
      <w:r>
        <w:rPr>
          <w:spacing w:val="-1"/>
        </w:rPr>
        <w:t>be.</w:t>
      </w:r>
      <w:r>
        <w:rPr>
          <w:spacing w:val="-16"/>
        </w:rPr>
        <w:t> </w:t>
      </w:r>
      <w:r>
        <w:rPr>
          <w:spacing w:val="-1"/>
        </w:rPr>
        <w:t>Atarot</w:t>
      </w:r>
      <w:r>
        <w:rPr>
          <w:spacing w:val="-4"/>
        </w:rPr>
        <w:t> </w:t>
      </w:r>
      <w:r>
        <w:rPr>
          <w:spacing w:val="-1"/>
        </w:rPr>
        <w:t>originally</w:t>
      </w:r>
      <w:r>
        <w:rPr>
          <w:spacing w:val="-4"/>
        </w:rPr>
        <w:t> </w:t>
      </w:r>
      <w:r>
        <w:rPr>
          <w:spacing w:val="-1"/>
        </w:rPr>
        <w:t>operated</w:t>
      </w:r>
      <w:r>
        <w:rPr>
          <w:spacing w:val="-4"/>
        </w:rPr>
        <w:t> </w:t>
      </w:r>
      <w:r>
        <w:rPr>
          <w:spacing w:val="-1"/>
        </w:rPr>
        <w:t>as</w:t>
      </w:r>
      <w:r>
        <w:rPr>
          <w:spacing w:val="-4"/>
        </w:rPr>
        <w:t> </w:t>
      </w:r>
      <w:r>
        <w:rPr>
          <w:spacing w:val="-1"/>
        </w:rPr>
        <w:t>a</w:t>
      </w:r>
      <w:r>
        <w:rPr>
          <w:spacing w:val="-4"/>
        </w:rPr>
        <w:t> </w:t>
      </w:r>
      <w:r>
        <w:rPr>
          <w:spacing w:val="-1"/>
        </w:rPr>
        <w:t>moshav</w:t>
      </w:r>
      <w:r>
        <w:rPr>
          <w:spacing w:val="-4"/>
        </w:rPr>
        <w:t> </w:t>
      </w:r>
      <w:r>
        <w:rPr>
          <w:spacing w:val="-1"/>
        </w:rPr>
        <w:t>prior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>
          <w:spacing w:val="-1"/>
        </w:rPr>
        <w:t>WWI,</w:t>
      </w:r>
      <w:r>
        <w:rPr>
          <w:spacing w:val="-4"/>
        </w:rPr>
        <w:t> </w:t>
      </w:r>
      <w:r>
        <w:rPr/>
        <w:t>then</w:t>
      </w:r>
      <w:r>
        <w:rPr>
          <w:spacing w:val="-4"/>
        </w:rPr>
        <w:t> </w:t>
      </w:r>
      <w:r>
        <w:rPr/>
        <w:t>again</w:t>
      </w:r>
      <w:r>
        <w:rPr>
          <w:spacing w:val="-4"/>
        </w:rPr>
        <w:t> </w:t>
      </w:r>
      <w:r>
        <w:rPr/>
        <w:t>during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20’s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30’s</w:t>
      </w:r>
      <w:r>
        <w:rPr>
          <w:spacing w:val="-10"/>
        </w:rPr>
        <w:t> </w:t>
      </w:r>
      <w:r>
        <w:rPr/>
        <w:t>before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British</w:t>
      </w:r>
      <w:r>
        <w:rPr>
          <w:spacing w:val="-10"/>
        </w:rPr>
        <w:t> </w:t>
      </w:r>
      <w:r>
        <w:rPr/>
        <w:t>Empire</w:t>
      </w:r>
      <w:r>
        <w:rPr>
          <w:spacing w:val="-9"/>
        </w:rPr>
        <w:t> </w:t>
      </w:r>
      <w:r>
        <w:rPr/>
        <w:t>expropriated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land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establish</w:t>
      </w:r>
      <w:r>
        <w:rPr>
          <w:spacing w:val="-9"/>
        </w:rPr>
        <w:t> </w:t>
      </w:r>
      <w:r>
        <w:rPr/>
        <w:t>an</w:t>
      </w:r>
      <w:r>
        <w:rPr>
          <w:spacing w:val="-10"/>
        </w:rPr>
        <w:t> </w:t>
      </w:r>
      <w:r>
        <w:rPr/>
        <w:t>airport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Jerusalem.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settlement</w:t>
      </w:r>
      <w:r>
        <w:rPr>
          <w:spacing w:val="-9"/>
        </w:rPr>
        <w:t> </w:t>
      </w:r>
      <w:r>
        <w:rPr/>
        <w:t>area</w:t>
      </w:r>
      <w:r>
        <w:rPr>
          <w:spacing w:val="-59"/>
        </w:rPr>
        <w:t> </w:t>
      </w:r>
      <w:r>
        <w:rPr>
          <w:spacing w:val="-1"/>
        </w:rPr>
        <w:t>was</w:t>
      </w:r>
      <w:r>
        <w:rPr>
          <w:spacing w:val="-11"/>
        </w:rPr>
        <w:t> </w:t>
      </w:r>
      <w:r>
        <w:rPr>
          <w:spacing w:val="-1"/>
        </w:rPr>
        <w:t>evacuated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remained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Jordanian</w:t>
      </w:r>
      <w:r>
        <w:rPr>
          <w:spacing w:val="-11"/>
        </w:rPr>
        <w:t> </w:t>
      </w:r>
      <w:r>
        <w:rPr>
          <w:spacing w:val="-1"/>
        </w:rPr>
        <w:t>hands</w:t>
      </w:r>
      <w:r>
        <w:rPr>
          <w:spacing w:val="-11"/>
        </w:rPr>
        <w:t> </w:t>
      </w:r>
      <w:r>
        <w:rPr>
          <w:spacing w:val="-1"/>
        </w:rPr>
        <w:t>until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6-day</w:t>
      </w:r>
      <w:r>
        <w:rPr>
          <w:spacing w:val="-11"/>
        </w:rPr>
        <w:t> </w:t>
      </w:r>
      <w:r>
        <w:rPr>
          <w:spacing w:val="-1"/>
        </w:rPr>
        <w:t>war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1967.</w:t>
      </w:r>
      <w:r>
        <w:rPr>
          <w:spacing w:val="-24"/>
        </w:rPr>
        <w:t> </w:t>
      </w:r>
      <w:r>
        <w:rPr>
          <w:spacing w:val="-1"/>
        </w:rPr>
        <w:t>An</w:t>
      </w:r>
      <w:r>
        <w:rPr>
          <w:spacing w:val="-11"/>
        </w:rPr>
        <w:t> </w:t>
      </w:r>
      <w:r>
        <w:rPr>
          <w:spacing w:val="-1"/>
        </w:rPr>
        <w:t>industrial</w:t>
      </w:r>
      <w:r>
        <w:rPr>
          <w:spacing w:val="-11"/>
        </w:rPr>
        <w:t> </w:t>
      </w:r>
      <w:r>
        <w:rPr/>
        <w:t>area</w:t>
      </w:r>
      <w:r>
        <w:rPr>
          <w:spacing w:val="-11"/>
        </w:rPr>
        <w:t> </w:t>
      </w:r>
      <w:r>
        <w:rPr/>
        <w:t>was</w:t>
      </w:r>
      <w:r>
        <w:rPr>
          <w:spacing w:val="-11"/>
        </w:rPr>
        <w:t> </w:t>
      </w:r>
      <w:r>
        <w:rPr/>
        <w:t>developed</w:t>
      </w:r>
      <w:r>
        <w:rPr>
          <w:spacing w:val="-58"/>
        </w:rPr>
        <w:t> </w:t>
      </w:r>
      <w:r>
        <w:rPr/>
        <w:t>there,</w:t>
      </w:r>
      <w:r>
        <w:rPr>
          <w:spacing w:val="-1"/>
        </w:rPr>
        <w:t> </w:t>
      </w:r>
      <w:r>
        <w:rPr/>
        <w:t>but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airport</w:t>
      </w:r>
      <w:r>
        <w:rPr>
          <w:spacing w:val="-1"/>
        </w:rPr>
        <w:t> </w:t>
      </w:r>
      <w:r>
        <w:rPr/>
        <w:t>ceased</w:t>
      </w:r>
      <w:r>
        <w:rPr>
          <w:spacing w:val="-1"/>
        </w:rPr>
        <w:t> </w:t>
      </w:r>
      <w:r>
        <w:rPr/>
        <w:t>to function as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casualty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2nd</w:t>
      </w:r>
      <w:r>
        <w:rPr>
          <w:spacing w:val="-1"/>
        </w:rPr>
        <w:t> </w:t>
      </w:r>
      <w:r>
        <w:rPr/>
        <w:t>intifada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2000.</w:t>
      </w: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432003</wp:posOffset>
            </wp:positionH>
            <wp:positionV relativeFrom="paragraph">
              <wp:posOffset>128641</wp:posOffset>
            </wp:positionV>
            <wp:extent cx="3190014" cy="1925193"/>
            <wp:effectExtent l="0" t="0" r="0" b="0"/>
            <wp:wrapTopAndBottom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014" cy="1925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3946512</wp:posOffset>
            </wp:positionH>
            <wp:positionV relativeFrom="paragraph">
              <wp:posOffset>128654</wp:posOffset>
            </wp:positionV>
            <wp:extent cx="3161883" cy="1908238"/>
            <wp:effectExtent l="0" t="0" r="0" b="0"/>
            <wp:wrapTopAndBottom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883" cy="1908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654" w:val="left" w:leader="none"/>
        </w:tabs>
        <w:spacing w:before="58"/>
        <w:ind w:left="120" w:right="0" w:firstLine="0"/>
        <w:jc w:val="both"/>
        <w:rPr>
          <w:i/>
          <w:sz w:val="17"/>
        </w:rPr>
      </w:pPr>
      <w:r>
        <w:rPr>
          <w:rFonts w:ascii="Arial-BoldItalicMT"/>
          <w:b/>
          <w:i/>
          <w:w w:val="105"/>
          <w:sz w:val="17"/>
        </w:rPr>
        <w:t>Atarot construction of water tank 1928</w:t>
      </w:r>
      <w:r>
        <w:rPr>
          <w:rFonts w:ascii="Arial-BoldItalicMT"/>
          <w:b/>
          <w:i/>
          <w:spacing w:val="1"/>
          <w:w w:val="105"/>
          <w:sz w:val="17"/>
        </w:rPr>
        <w:t> </w:t>
      </w:r>
      <w:r>
        <w:rPr>
          <w:i/>
          <w:w w:val="105"/>
          <w:sz w:val="17"/>
        </w:rPr>
        <w:t>(Wikipedia)</w:t>
        <w:tab/>
      </w:r>
      <w:r>
        <w:rPr>
          <w:rFonts w:ascii="Arial-BoldItalicMT"/>
          <w:b/>
          <w:i/>
          <w:w w:val="105"/>
          <w:sz w:val="17"/>
        </w:rPr>
        <w:t>The</w:t>
      </w:r>
      <w:r>
        <w:rPr>
          <w:rFonts w:ascii="Arial-BoldItalicMT"/>
          <w:b/>
          <w:i/>
          <w:spacing w:val="-7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Atarot</w:t>
      </w:r>
      <w:r>
        <w:rPr>
          <w:rFonts w:ascii="Arial-BoldItalicMT"/>
          <w:b/>
          <w:i/>
          <w:spacing w:val="-1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moshav</w:t>
      </w:r>
      <w:r>
        <w:rPr>
          <w:rFonts w:ascii="Arial-BoldItalicMT"/>
          <w:b/>
          <w:i/>
          <w:spacing w:val="-1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in</w:t>
      </w:r>
      <w:r>
        <w:rPr>
          <w:rFonts w:ascii="Arial-BoldItalicMT"/>
          <w:b/>
          <w:i/>
          <w:spacing w:val="-1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1944 </w:t>
      </w:r>
      <w:r>
        <w:rPr>
          <w:i/>
          <w:w w:val="105"/>
          <w:sz w:val="17"/>
        </w:rPr>
        <w:t>(CC</w:t>
      </w:r>
      <w:r>
        <w:rPr>
          <w:i/>
          <w:spacing w:val="-2"/>
          <w:w w:val="105"/>
          <w:sz w:val="17"/>
        </w:rPr>
        <w:t> </w:t>
      </w:r>
      <w:r>
        <w:rPr>
          <w:i/>
          <w:w w:val="105"/>
          <w:sz w:val="17"/>
        </w:rPr>
        <w:t>BY-SA</w:t>
      </w:r>
      <w:r>
        <w:rPr>
          <w:i/>
          <w:spacing w:val="-7"/>
          <w:w w:val="105"/>
          <w:sz w:val="17"/>
        </w:rPr>
        <w:t> </w:t>
      </w:r>
      <w:r>
        <w:rPr>
          <w:i/>
          <w:w w:val="105"/>
          <w:sz w:val="17"/>
        </w:rPr>
        <w:t>3.0,</w:t>
      </w:r>
      <w:r>
        <w:rPr>
          <w:i/>
          <w:spacing w:val="-1"/>
          <w:w w:val="105"/>
          <w:sz w:val="17"/>
        </w:rPr>
        <w:t> </w:t>
      </w:r>
      <w:r>
        <w:rPr>
          <w:i/>
          <w:w w:val="105"/>
          <w:sz w:val="17"/>
        </w:rPr>
        <w:t>Wikipedia)</w:t>
      </w:r>
    </w:p>
    <w:p>
      <w:pPr>
        <w:pStyle w:val="BodyText"/>
        <w:spacing w:before="3"/>
        <w:rPr>
          <w:i/>
          <w:sz w:val="14"/>
        </w:rPr>
      </w:pPr>
    </w:p>
    <w:p>
      <w:pPr>
        <w:pStyle w:val="BodyText"/>
        <w:spacing w:line="237" w:lineRule="auto" w:before="95"/>
        <w:ind w:left="120" w:right="152"/>
        <w:jc w:val="both"/>
      </w:pPr>
      <w:r>
        <w:rPr/>
        <w:t>With recent housing availability strains in Jerusalem, the municipality has sought to establish 9000 housing</w:t>
      </w:r>
      <w:r>
        <w:rPr>
          <w:spacing w:val="1"/>
        </w:rPr>
        <w:t> </w:t>
      </w:r>
      <w:r>
        <w:rPr/>
        <w:t>units, mainly meant for the Haredi community adjacent to the ground where the non-functioning airport now</w:t>
      </w:r>
      <w:r>
        <w:rPr>
          <w:spacing w:val="1"/>
        </w:rPr>
        <w:t> </w:t>
      </w:r>
      <w:r>
        <w:rPr/>
        <w:t>sits.</w:t>
      </w:r>
      <w:r>
        <w:rPr>
          <w:spacing w:val="-12"/>
        </w:rPr>
        <w:t> </w:t>
      </w:r>
      <w:r>
        <w:rPr/>
        <w:t>Establishing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neighborhood</w:t>
      </w:r>
      <w:r>
        <w:rPr>
          <w:spacing w:val="-12"/>
        </w:rPr>
        <w:t> </w:t>
      </w:r>
      <w:r>
        <w:rPr/>
        <w:t>here</w:t>
      </w:r>
      <w:r>
        <w:rPr>
          <w:spacing w:val="-11"/>
        </w:rPr>
        <w:t> </w:t>
      </w:r>
      <w:r>
        <w:rPr/>
        <w:t>reinforces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identity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Jerusalem</w:t>
      </w:r>
      <w:r>
        <w:rPr>
          <w:spacing w:val="-12"/>
        </w:rPr>
        <w:t> </w:t>
      </w:r>
      <w:r>
        <w:rPr/>
        <w:t>as</w:t>
      </w:r>
      <w:r>
        <w:rPr>
          <w:spacing w:val="-11"/>
        </w:rPr>
        <w:t> </w:t>
      </w:r>
      <w:r>
        <w:rPr/>
        <w:t>an</w:t>
      </w:r>
      <w:r>
        <w:rPr>
          <w:spacing w:val="-12"/>
        </w:rPr>
        <w:t> </w:t>
      </w:r>
      <w:r>
        <w:rPr/>
        <w:t>undivided</w:t>
      </w:r>
      <w:r>
        <w:rPr>
          <w:spacing w:val="-11"/>
        </w:rPr>
        <w:t> </w:t>
      </w:r>
      <w:r>
        <w:rPr/>
        <w:t>metropolis,</w:t>
      </w:r>
      <w:r>
        <w:rPr>
          <w:spacing w:val="-12"/>
        </w:rPr>
        <w:t> </w:t>
      </w:r>
      <w:r>
        <w:rPr/>
        <w:t>indeed</w:t>
      </w:r>
      <w:r>
        <w:rPr>
          <w:spacing w:val="-58"/>
        </w:rPr>
        <w:t> </w:t>
      </w:r>
      <w:r>
        <w:rPr>
          <w:spacing w:val="-1"/>
        </w:rPr>
        <w:t>capital,</w:t>
      </w:r>
      <w:r>
        <w:rPr>
          <w:spacing w:val="-11"/>
        </w:rPr>
        <w:t> </w:t>
      </w:r>
      <w:r>
        <w:rPr>
          <w:spacing w:val="-1"/>
        </w:rPr>
        <w:t>under</w:t>
      </w:r>
      <w:r>
        <w:rPr>
          <w:spacing w:val="-11"/>
        </w:rPr>
        <w:t> </w:t>
      </w:r>
      <w:r>
        <w:rPr>
          <w:spacing w:val="-1"/>
        </w:rPr>
        <w:t>sovereign</w:t>
      </w:r>
      <w:r>
        <w:rPr>
          <w:spacing w:val="-11"/>
        </w:rPr>
        <w:t> </w:t>
      </w:r>
      <w:r>
        <w:rPr>
          <w:spacing w:val="-1"/>
        </w:rPr>
        <w:t>Jewish</w:t>
      </w:r>
      <w:r>
        <w:rPr>
          <w:spacing w:val="-11"/>
        </w:rPr>
        <w:t> </w:t>
      </w:r>
      <w:r>
        <w:rPr>
          <w:spacing w:val="-1"/>
        </w:rPr>
        <w:t>control.</w:t>
      </w:r>
      <w:r>
        <w:rPr>
          <w:spacing w:val="-14"/>
        </w:rPr>
        <w:t> </w:t>
      </w:r>
      <w:r>
        <w:rPr>
          <w:spacing w:val="-1"/>
        </w:rPr>
        <w:t>This</w:t>
      </w:r>
      <w:r>
        <w:rPr>
          <w:spacing w:val="-11"/>
        </w:rPr>
        <w:t> </w:t>
      </w:r>
      <w:r>
        <w:rPr>
          <w:spacing w:val="-1"/>
        </w:rPr>
        <w:t>narrative</w:t>
      </w:r>
      <w:r>
        <w:rPr>
          <w:spacing w:val="-11"/>
        </w:rPr>
        <w:t> </w:t>
      </w:r>
      <w:r>
        <w:rPr>
          <w:spacing w:val="-1"/>
        </w:rPr>
        <w:t>does</w:t>
      </w:r>
      <w:r>
        <w:rPr>
          <w:spacing w:val="-11"/>
        </w:rPr>
        <w:t> </w:t>
      </w:r>
      <w:r>
        <w:rPr>
          <w:spacing w:val="-1"/>
        </w:rPr>
        <w:t>not</w:t>
      </w:r>
      <w:r>
        <w:rPr>
          <w:spacing w:val="-11"/>
        </w:rPr>
        <w:t> </w:t>
      </w:r>
      <w:r>
        <w:rPr>
          <w:spacing w:val="-1"/>
        </w:rPr>
        <w:t>resonate</w:t>
      </w:r>
      <w:r>
        <w:rPr>
          <w:spacing w:val="-10"/>
        </w:rPr>
        <w:t> </w:t>
      </w:r>
      <w:r>
        <w:rPr>
          <w:spacing w:val="-1"/>
        </w:rPr>
        <w:t>well</w:t>
      </w:r>
      <w:r>
        <w:rPr>
          <w:spacing w:val="-11"/>
        </w:rPr>
        <w:t> </w:t>
      </w:r>
      <w:r>
        <w:rPr>
          <w:spacing w:val="-1"/>
        </w:rPr>
        <w:t>within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Palestinian</w:t>
      </w:r>
      <w:r>
        <w:rPr>
          <w:spacing w:val="-11"/>
        </w:rPr>
        <w:t> </w:t>
      </w:r>
      <w:r>
        <w:rPr/>
        <w:t>leadership,</w:t>
      </w:r>
      <w:r>
        <w:rPr>
          <w:spacing w:val="-58"/>
        </w:rPr>
        <w:t> </w:t>
      </w:r>
      <w:r>
        <w:rPr/>
        <w:t>nor the left leaning voices within Israel and outside. Building housing here is interpreted as provocative by</w:t>
      </w:r>
      <w:r>
        <w:rPr>
          <w:spacing w:val="1"/>
        </w:rPr>
        <w:t> </w:t>
      </w:r>
      <w:r>
        <w:rPr/>
        <w:t>definition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alternatives</w:t>
      </w:r>
      <w:r>
        <w:rPr>
          <w:spacing w:val="-15"/>
        </w:rPr>
        <w:t> </w:t>
      </w:r>
      <w:r>
        <w:rPr/>
        <w:t>should</w:t>
      </w:r>
      <w:r>
        <w:rPr>
          <w:spacing w:val="-15"/>
        </w:rPr>
        <w:t> </w:t>
      </w:r>
      <w:r>
        <w:rPr/>
        <w:t>be</w:t>
      </w:r>
      <w:r>
        <w:rPr>
          <w:spacing w:val="-15"/>
        </w:rPr>
        <w:t> </w:t>
      </w:r>
      <w:r>
        <w:rPr/>
        <w:t>explored,</w:t>
      </w:r>
      <w:r>
        <w:rPr>
          <w:spacing w:val="-15"/>
        </w:rPr>
        <w:t> </w:t>
      </w:r>
      <w:r>
        <w:rPr/>
        <w:t>this</w:t>
      </w:r>
      <w:r>
        <w:rPr>
          <w:spacing w:val="-15"/>
        </w:rPr>
        <w:t> </w:t>
      </w:r>
      <w:r>
        <w:rPr/>
        <w:t>group</w:t>
      </w:r>
      <w:r>
        <w:rPr>
          <w:spacing w:val="-15"/>
        </w:rPr>
        <w:t> </w:t>
      </w:r>
      <w:r>
        <w:rPr/>
        <w:t>contends.</w:t>
      </w:r>
      <w:r>
        <w:rPr>
          <w:spacing w:val="-15"/>
        </w:rPr>
        <w:t> </w:t>
      </w:r>
      <w:r>
        <w:rPr/>
        <w:t>One</w:t>
      </w:r>
      <w:r>
        <w:rPr>
          <w:spacing w:val="-15"/>
        </w:rPr>
        <w:t> </w:t>
      </w:r>
      <w:r>
        <w:rPr/>
        <w:t>such</w:t>
      </w:r>
      <w:r>
        <w:rPr>
          <w:spacing w:val="-15"/>
        </w:rPr>
        <w:t> </w:t>
      </w:r>
      <w:r>
        <w:rPr/>
        <w:t>alternative</w:t>
      </w:r>
      <w:r>
        <w:rPr>
          <w:spacing w:val="-15"/>
        </w:rPr>
        <w:t> </w:t>
      </w:r>
      <w:r>
        <w:rPr/>
        <w:t>that</w:t>
      </w:r>
      <w:r>
        <w:rPr>
          <w:spacing w:val="-14"/>
        </w:rPr>
        <w:t> </w:t>
      </w:r>
      <w:r>
        <w:rPr/>
        <w:t>has</w:t>
      </w:r>
      <w:r>
        <w:rPr>
          <w:spacing w:val="-15"/>
        </w:rPr>
        <w:t> </w:t>
      </w:r>
      <w:r>
        <w:rPr/>
        <w:t>been</w:t>
      </w:r>
      <w:r>
        <w:rPr>
          <w:spacing w:val="-15"/>
        </w:rPr>
        <w:t> </w:t>
      </w:r>
      <w:r>
        <w:rPr/>
        <w:t>floated</w:t>
      </w:r>
      <w:r>
        <w:rPr>
          <w:spacing w:val="1"/>
        </w:rPr>
        <w:t> </w:t>
      </w:r>
      <w:r>
        <w:rPr/>
        <w:t>is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re-establishing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service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modifying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airport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accommodate</w:t>
      </w:r>
      <w:r>
        <w:rPr>
          <w:spacing w:val="-8"/>
        </w:rPr>
        <w:t> </w:t>
      </w:r>
      <w:r>
        <w:rPr/>
        <w:t>not</w:t>
      </w:r>
      <w:r>
        <w:rPr>
          <w:spacing w:val="-8"/>
        </w:rPr>
        <w:t> </w:t>
      </w:r>
      <w:r>
        <w:rPr/>
        <w:t>only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Jewish</w:t>
      </w:r>
      <w:r>
        <w:rPr>
          <w:spacing w:val="-7"/>
        </w:rPr>
        <w:t> </w:t>
      </w:r>
      <w:r>
        <w:rPr/>
        <w:t>population,</w:t>
      </w:r>
      <w:r>
        <w:rPr>
          <w:spacing w:val="-7"/>
        </w:rPr>
        <w:t> </w:t>
      </w:r>
      <w:r>
        <w:rPr/>
        <w:t>but</w:t>
      </w:r>
      <w:r>
        <w:rPr>
          <w:spacing w:val="-59"/>
        </w:rPr>
        <w:t> </w:t>
      </w:r>
      <w:r>
        <w:rPr>
          <w:spacing w:val="-1"/>
        </w:rPr>
        <w:t>also the Arab population, whose international travel options are </w:t>
      </w:r>
      <w:r>
        <w:rPr/>
        <w:t>currently limited to special permission for use</w:t>
      </w:r>
      <w:r>
        <w:rPr>
          <w:spacing w:val="-59"/>
        </w:rPr>
        <w:t> </w:t>
      </w:r>
      <w:r>
        <w:rPr/>
        <w:t>of</w:t>
      </w:r>
      <w:r>
        <w:rPr>
          <w:spacing w:val="-2"/>
        </w:rPr>
        <w:t> </w:t>
      </w:r>
      <w:r>
        <w:rPr/>
        <w:t>Ben Gurion or</w:t>
      </w:r>
      <w:r>
        <w:rPr>
          <w:spacing w:val="-2"/>
        </w:rPr>
        <w:t> </w:t>
      </w:r>
      <w:r>
        <w:rPr/>
        <w:t>transport through the West</w:t>
      </w:r>
      <w:r>
        <w:rPr>
          <w:spacing w:val="-2"/>
        </w:rPr>
        <w:t> </w:t>
      </w:r>
      <w:r>
        <w:rPr/>
        <w:t>Bank into</w:t>
      </w:r>
      <w:r>
        <w:rPr>
          <w:spacing w:val="-1"/>
        </w:rPr>
        <w:t> </w:t>
      </w:r>
      <w:r>
        <w:rPr/>
        <w:t>Jordan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from</w:t>
      </w:r>
      <w:r>
        <w:rPr>
          <w:spacing w:val="-12"/>
        </w:rPr>
        <w:t> </w:t>
      </w:r>
      <w:r>
        <w:rPr/>
        <w:t>Amman.</w:t>
      </w:r>
    </w:p>
    <w:p>
      <w:pPr>
        <w:pStyle w:val="BodyText"/>
        <w:spacing w:before="4"/>
        <w:rPr>
          <w:sz w:val="15"/>
        </w:rPr>
      </w:pPr>
      <w:r>
        <w:rPr/>
        <w:pict>
          <v:group style="position:absolute;margin-left:33.541pt;margin-top:10.051585pt;width:528.25pt;height:151pt;mso-position-horizontal-relative:page;mso-position-vertical-relative:paragraph;z-index:-15727616;mso-wrap-distance-left:0;mso-wrap-distance-right:0" id="docshapegroup9" coordorigin="671,201" coordsize="10565,3020">
            <v:shape style="position:absolute;left:680;top:211;width:10545;height:3000" type="#_x0000_t75" id="docshape10" stroked="false">
              <v:imagedata r:id="rId11" o:title=""/>
            </v:shape>
            <v:rect style="position:absolute;left:680;top:211;width:10545;height:3000" id="docshape11" filled="false" stroked="true" strokeweight="1pt" strokecolor="#231f20">
              <v:stroke dashstyle="solid"/>
            </v:rect>
            <w10:wrap type="topAndBottom"/>
          </v:group>
        </w:pict>
      </w:r>
    </w:p>
    <w:p>
      <w:pPr>
        <w:spacing w:line="307" w:lineRule="auto" w:before="70"/>
        <w:ind w:left="120" w:right="0" w:firstLine="0"/>
        <w:jc w:val="left"/>
        <w:rPr>
          <w:i/>
          <w:sz w:val="17"/>
        </w:rPr>
      </w:pPr>
      <w:r>
        <w:rPr>
          <w:rFonts w:ascii="Arial-BoldItalicMT"/>
          <w:b/>
          <w:i/>
          <w:spacing w:val="-1"/>
          <w:w w:val="105"/>
          <w:sz w:val="17"/>
        </w:rPr>
        <w:t>The</w:t>
      </w:r>
      <w:r>
        <w:rPr>
          <w:rFonts w:ascii="Arial-BoldItalicMT"/>
          <w:b/>
          <w:i/>
          <w:spacing w:val="-7"/>
          <w:w w:val="105"/>
          <w:sz w:val="17"/>
        </w:rPr>
        <w:t> </w:t>
      </w:r>
      <w:r>
        <w:rPr>
          <w:rFonts w:ascii="Arial-BoldItalicMT"/>
          <w:b/>
          <w:i/>
          <w:spacing w:val="-1"/>
          <w:w w:val="105"/>
          <w:sz w:val="17"/>
        </w:rPr>
        <w:t>project,</w:t>
      </w:r>
      <w:r>
        <w:rPr>
          <w:rFonts w:ascii="Arial-BoldItalicMT"/>
          <w:b/>
          <w:i/>
          <w:spacing w:val="-7"/>
          <w:w w:val="105"/>
          <w:sz w:val="17"/>
        </w:rPr>
        <w:t> </w:t>
      </w:r>
      <w:r>
        <w:rPr>
          <w:rFonts w:ascii="Arial-BoldItalicMT"/>
          <w:b/>
          <w:i/>
          <w:spacing w:val="-1"/>
          <w:w w:val="105"/>
          <w:sz w:val="17"/>
        </w:rPr>
        <w:t>would</w:t>
      </w:r>
      <w:r>
        <w:rPr>
          <w:rFonts w:ascii="Arial-BoldItalicMT"/>
          <w:b/>
          <w:i/>
          <w:spacing w:val="-6"/>
          <w:w w:val="105"/>
          <w:sz w:val="17"/>
        </w:rPr>
        <w:t> </w:t>
      </w:r>
      <w:r>
        <w:rPr>
          <w:rFonts w:ascii="Arial-BoldItalicMT"/>
          <w:b/>
          <w:i/>
          <w:spacing w:val="-1"/>
          <w:w w:val="105"/>
          <w:sz w:val="17"/>
        </w:rPr>
        <w:t>see</w:t>
      </w:r>
      <w:r>
        <w:rPr>
          <w:rFonts w:ascii="Arial-BoldItalicMT"/>
          <w:b/>
          <w:i/>
          <w:spacing w:val="-7"/>
          <w:w w:val="105"/>
          <w:sz w:val="17"/>
        </w:rPr>
        <w:t> </w:t>
      </w:r>
      <w:r>
        <w:rPr>
          <w:rFonts w:ascii="Arial-BoldItalicMT"/>
          <w:b/>
          <w:i/>
          <w:spacing w:val="-1"/>
          <w:w w:val="105"/>
          <w:sz w:val="17"/>
        </w:rPr>
        <w:t>the</w:t>
      </w:r>
      <w:r>
        <w:rPr>
          <w:rFonts w:ascii="Arial-BoldItalicMT"/>
          <w:b/>
          <w:i/>
          <w:spacing w:val="-6"/>
          <w:w w:val="105"/>
          <w:sz w:val="17"/>
        </w:rPr>
        <w:t> </w:t>
      </w:r>
      <w:r>
        <w:rPr>
          <w:rFonts w:ascii="Arial-BoldItalicMT"/>
          <w:b/>
          <w:i/>
          <w:spacing w:val="-1"/>
          <w:w w:val="105"/>
          <w:sz w:val="17"/>
        </w:rPr>
        <w:t>construction</w:t>
      </w:r>
      <w:r>
        <w:rPr>
          <w:rFonts w:ascii="Arial-BoldItalicMT"/>
          <w:b/>
          <w:i/>
          <w:spacing w:val="-7"/>
          <w:w w:val="105"/>
          <w:sz w:val="17"/>
        </w:rPr>
        <w:t> </w:t>
      </w:r>
      <w:r>
        <w:rPr>
          <w:rFonts w:ascii="Arial-BoldItalicMT"/>
          <w:b/>
          <w:i/>
          <w:spacing w:val="-1"/>
          <w:w w:val="105"/>
          <w:sz w:val="17"/>
        </w:rPr>
        <w:t>of</w:t>
      </w:r>
      <w:r>
        <w:rPr>
          <w:rFonts w:ascii="Arial-BoldItalicMT"/>
          <w:b/>
          <w:i/>
          <w:spacing w:val="-7"/>
          <w:w w:val="105"/>
          <w:sz w:val="17"/>
        </w:rPr>
        <w:t> </w:t>
      </w:r>
      <w:r>
        <w:rPr>
          <w:rFonts w:ascii="Arial-BoldItalicMT"/>
          <w:b/>
          <w:i/>
          <w:spacing w:val="-1"/>
          <w:w w:val="105"/>
          <w:sz w:val="17"/>
        </w:rPr>
        <w:t>9,000</w:t>
      </w:r>
      <w:r>
        <w:rPr>
          <w:rFonts w:ascii="Arial-BoldItalicMT"/>
          <w:b/>
          <w:i/>
          <w:spacing w:val="-6"/>
          <w:w w:val="105"/>
          <w:sz w:val="17"/>
        </w:rPr>
        <w:t> </w:t>
      </w:r>
      <w:r>
        <w:rPr>
          <w:rFonts w:ascii="Arial-BoldItalicMT"/>
          <w:b/>
          <w:i/>
          <w:spacing w:val="-1"/>
          <w:w w:val="105"/>
          <w:sz w:val="17"/>
        </w:rPr>
        <w:t>housing</w:t>
      </w:r>
      <w:r>
        <w:rPr>
          <w:rFonts w:ascii="Arial-BoldItalicMT"/>
          <w:b/>
          <w:i/>
          <w:spacing w:val="-7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units</w:t>
      </w:r>
      <w:r>
        <w:rPr>
          <w:rFonts w:ascii="Arial-BoldItalicMT"/>
          <w:b/>
          <w:i/>
          <w:spacing w:val="-6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-</w:t>
      </w:r>
      <w:r>
        <w:rPr>
          <w:rFonts w:ascii="Arial-BoldItalicMT"/>
          <w:b/>
          <w:i/>
          <w:spacing w:val="-7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designated</w:t>
      </w:r>
      <w:r>
        <w:rPr>
          <w:rFonts w:ascii="Arial-BoldItalicMT"/>
          <w:b/>
          <w:i/>
          <w:spacing w:val="-7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for</w:t>
      </w:r>
      <w:r>
        <w:rPr>
          <w:rFonts w:ascii="Arial-BoldItalicMT"/>
          <w:b/>
          <w:i/>
          <w:spacing w:val="-6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ultra-Orthodox</w:t>
      </w:r>
      <w:r>
        <w:rPr>
          <w:rFonts w:ascii="Arial-BoldItalicMT"/>
          <w:b/>
          <w:i/>
          <w:spacing w:val="-7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Jews</w:t>
      </w:r>
      <w:r>
        <w:rPr>
          <w:rFonts w:ascii="Arial-BoldItalicMT"/>
          <w:b/>
          <w:i/>
          <w:spacing w:val="-6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-</w:t>
      </w:r>
      <w:r>
        <w:rPr>
          <w:rFonts w:ascii="Arial-BoldItalicMT"/>
          <w:b/>
          <w:i/>
          <w:spacing w:val="-7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in</w:t>
      </w:r>
      <w:r>
        <w:rPr>
          <w:rFonts w:ascii="Arial-BoldItalicMT"/>
          <w:b/>
          <w:i/>
          <w:spacing w:val="-7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the</w:t>
      </w:r>
      <w:r>
        <w:rPr>
          <w:rFonts w:ascii="Arial-BoldItalicMT"/>
          <w:b/>
          <w:i/>
          <w:spacing w:val="-12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Atarot</w:t>
      </w:r>
      <w:r>
        <w:rPr>
          <w:rFonts w:ascii="Arial-BoldItalicMT"/>
          <w:b/>
          <w:i/>
          <w:spacing w:val="-6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community</w:t>
      </w:r>
      <w:r>
        <w:rPr>
          <w:rFonts w:ascii="Arial-BoldItalicMT"/>
          <w:b/>
          <w:i/>
          <w:spacing w:val="-47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on</w:t>
      </w:r>
      <w:r>
        <w:rPr>
          <w:rFonts w:ascii="Arial-BoldItalicMT"/>
          <w:b/>
          <w:i/>
          <w:spacing w:val="-4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an</w:t>
      </w:r>
      <w:r>
        <w:rPr>
          <w:rFonts w:ascii="Arial-BoldItalicMT"/>
          <w:b/>
          <w:i/>
          <w:spacing w:val="-4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abandoned</w:t>
      </w:r>
      <w:r>
        <w:rPr>
          <w:rFonts w:ascii="Arial-BoldItalicMT"/>
          <w:b/>
          <w:i/>
          <w:spacing w:val="-3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airport</w:t>
      </w:r>
      <w:r>
        <w:rPr>
          <w:rFonts w:ascii="Arial-BoldItalicMT"/>
          <w:b/>
          <w:i/>
          <w:spacing w:val="-2"/>
          <w:w w:val="105"/>
          <w:sz w:val="17"/>
        </w:rPr>
        <w:t> </w:t>
      </w:r>
      <w:r>
        <w:rPr>
          <w:i/>
          <w:w w:val="105"/>
          <w:sz w:val="17"/>
        </w:rPr>
        <w:t>(YouTube)</w:t>
      </w:r>
    </w:p>
    <w:p>
      <w:pPr>
        <w:spacing w:after="0" w:line="307" w:lineRule="auto"/>
        <w:jc w:val="left"/>
        <w:rPr>
          <w:sz w:val="17"/>
        </w:rPr>
        <w:sectPr>
          <w:type w:val="continuous"/>
          <w:pgSz w:w="11910" w:h="16840"/>
          <w:pgMar w:top="0" w:bottom="280" w:left="560" w:right="520"/>
        </w:sectPr>
      </w:pPr>
    </w:p>
    <w:p>
      <w:pPr>
        <w:spacing w:line="237" w:lineRule="auto" w:before="68"/>
        <w:ind w:left="120" w:right="157" w:firstLine="0"/>
        <w:jc w:val="both"/>
        <w:rPr>
          <w:rFonts w:ascii="Arial-BoldItalicMT" w:hAnsi="Arial-BoldItalicMT"/>
          <w:b/>
          <w:i/>
          <w:sz w:val="22"/>
        </w:rPr>
      </w:pPr>
      <w:r>
        <w:rPr>
          <w:rFonts w:ascii="Arial-BoldItalicMT" w:hAnsi="Arial-BoldItalicMT"/>
          <w:b/>
          <w:i/>
          <w:sz w:val="22"/>
        </w:rPr>
        <w:t>“Now the king sent word and called for Shimei and said to him, ‘Build yourself a house in Jerusalem</w:t>
      </w:r>
      <w:r>
        <w:rPr>
          <w:rFonts w:ascii="Arial-BoldItalicMT" w:hAnsi="Arial-BoldItalicMT"/>
          <w:b/>
          <w:i/>
          <w:spacing w:val="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and</w:t>
      </w:r>
      <w:r>
        <w:rPr>
          <w:rFonts w:ascii="Arial-BoldItalicMT" w:hAnsi="Arial-BoldItalicMT"/>
          <w:b/>
          <w:i/>
          <w:spacing w:val="-2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live there.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Do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not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go from there to any</w:t>
      </w:r>
      <w:r>
        <w:rPr>
          <w:rFonts w:ascii="Arial-BoldItalicMT" w:hAnsi="Arial-BoldItalicMT"/>
          <w:b/>
          <w:i/>
          <w:spacing w:val="-2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other place’” 1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Kings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2:36</w:t>
      </w:r>
      <w:r>
        <w:rPr>
          <w:rFonts w:ascii="Arial-BoldItalicMT" w:hAnsi="Arial-BoldItalicMT"/>
          <w:b/>
          <w:i/>
          <w:spacing w:val="-2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(AMP).</w:t>
      </w:r>
    </w:p>
    <w:p>
      <w:pPr>
        <w:pStyle w:val="BodyText"/>
        <w:spacing w:before="7"/>
        <w:rPr>
          <w:rFonts w:ascii="Arial-BoldItalicMT"/>
          <w:b/>
          <w:i/>
          <w:sz w:val="21"/>
        </w:rPr>
      </w:pPr>
    </w:p>
    <w:p>
      <w:pPr>
        <w:pStyle w:val="BodyText"/>
        <w:spacing w:line="237" w:lineRule="auto"/>
        <w:ind w:left="120" w:right="153"/>
        <w:jc w:val="both"/>
      </w:pPr>
      <w:r>
        <w:rPr>
          <w:spacing w:val="-2"/>
        </w:rPr>
        <w:t>With</w:t>
      </w:r>
      <w:r>
        <w:rPr>
          <w:spacing w:val="-25"/>
        </w:rPr>
        <w:t> </w:t>
      </w:r>
      <w:r>
        <w:rPr>
          <w:spacing w:val="-2"/>
        </w:rPr>
        <w:t>Atarot,</w:t>
      </w:r>
      <w:r>
        <w:rPr>
          <w:spacing w:val="-13"/>
        </w:rPr>
        <w:t> </w:t>
      </w:r>
      <w:r>
        <w:rPr>
          <w:spacing w:val="-2"/>
        </w:rPr>
        <w:t>as</w:t>
      </w:r>
      <w:r>
        <w:rPr>
          <w:spacing w:val="-13"/>
        </w:rPr>
        <w:t> </w:t>
      </w:r>
      <w:r>
        <w:rPr>
          <w:spacing w:val="-2"/>
        </w:rPr>
        <w:t>with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ongoing</w:t>
      </w:r>
      <w:r>
        <w:rPr>
          <w:spacing w:val="-13"/>
        </w:rPr>
        <w:t> </w:t>
      </w:r>
      <w:r>
        <w:rPr>
          <w:spacing w:val="-2"/>
        </w:rPr>
        <w:t>conflict</w:t>
      </w:r>
      <w:r>
        <w:rPr>
          <w:spacing w:val="-13"/>
        </w:rPr>
        <w:t> </w:t>
      </w:r>
      <w:r>
        <w:rPr>
          <w:spacing w:val="-2"/>
        </w:rPr>
        <w:t>in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Judea/Samaria</w:t>
      </w:r>
      <w:r>
        <w:rPr>
          <w:spacing w:val="-13"/>
        </w:rPr>
        <w:t> </w:t>
      </w:r>
      <w:r>
        <w:rPr>
          <w:spacing w:val="-2"/>
        </w:rPr>
        <w:t>region</w:t>
      </w:r>
      <w:r>
        <w:rPr>
          <w:spacing w:val="-13"/>
        </w:rPr>
        <w:t> </w:t>
      </w:r>
      <w:r>
        <w:rPr>
          <w:spacing w:val="-1"/>
        </w:rPr>
        <w:t>between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Jewish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32"/>
        </w:rPr>
        <w:t> </w:t>
      </w:r>
      <w:r>
        <w:rPr>
          <w:spacing w:val="-1"/>
        </w:rPr>
        <w:t>Arab</w:t>
      </w:r>
      <w:r>
        <w:rPr>
          <w:spacing w:val="-13"/>
        </w:rPr>
        <w:t> </w:t>
      </w:r>
      <w:r>
        <w:rPr>
          <w:spacing w:val="-1"/>
        </w:rPr>
        <w:t>populations,</w:t>
      </w:r>
      <w:r>
        <w:rPr/>
        <w:t> about who retains the land and the right to determine its proper use, as believers in the earth, we know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disputes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ideological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all.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theological.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theological</w:t>
      </w:r>
      <w:r>
        <w:rPr>
          <w:spacing w:val="1"/>
        </w:rPr>
        <w:t> </w:t>
      </w:r>
      <w:r>
        <w:rPr/>
        <w:t>understanding leads you to believe in the veracity of Tanahk (Old Testament) and the Deity that is portrayed</w:t>
      </w:r>
      <w:r>
        <w:rPr>
          <w:spacing w:val="-59"/>
        </w:rPr>
        <w:t> </w:t>
      </w:r>
      <w:r>
        <w:rPr/>
        <w:t>within its pages, then establishing the residence of a Jewish person within Israel could not be considered</w:t>
      </w:r>
      <w:r>
        <w:rPr>
          <w:spacing w:val="1"/>
        </w:rPr>
        <w:t> </w:t>
      </w:r>
      <w:r>
        <w:rPr/>
        <w:t>provocative in and of itself. If you currently adhere to the teachings that promote the existence of, or</w:t>
      </w:r>
      <w:r>
        <w:rPr>
          <w:spacing w:val="1"/>
        </w:rPr>
        <w:t> </w:t>
      </w:r>
      <w:r>
        <w:rPr/>
        <w:t>allegiance to a different Deity…or no Deity at all, you might come to a different conclusion based on worldly</w:t>
      </w:r>
      <w:r>
        <w:rPr>
          <w:spacing w:val="1"/>
        </w:rPr>
        <w:t> </w:t>
      </w:r>
      <w:r>
        <w:rPr/>
        <w:t>or</w:t>
      </w:r>
      <w:r>
        <w:rPr>
          <w:spacing w:val="24"/>
        </w:rPr>
        <w:t> </w:t>
      </w:r>
      <w:r>
        <w:rPr/>
        <w:t>idolatrous</w:t>
      </w:r>
      <w:r>
        <w:rPr>
          <w:spacing w:val="24"/>
        </w:rPr>
        <w:t> </w:t>
      </w:r>
      <w:r>
        <w:rPr/>
        <w:t>concepts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fairness</w:t>
      </w:r>
      <w:r>
        <w:rPr>
          <w:spacing w:val="25"/>
        </w:rPr>
        <w:t> </w:t>
      </w:r>
      <w:r>
        <w:rPr/>
        <w:t>or</w:t>
      </w:r>
      <w:r>
        <w:rPr>
          <w:spacing w:val="24"/>
        </w:rPr>
        <w:t> </w:t>
      </w:r>
      <w:r>
        <w:rPr/>
        <w:t>equity.</w:t>
      </w:r>
      <w:r>
        <w:rPr>
          <w:spacing w:val="24"/>
        </w:rPr>
        <w:t> </w:t>
      </w:r>
      <w:r>
        <w:rPr/>
        <w:t>Those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us</w:t>
      </w:r>
      <w:r>
        <w:rPr>
          <w:spacing w:val="24"/>
        </w:rPr>
        <w:t> </w:t>
      </w:r>
      <w:r>
        <w:rPr/>
        <w:t>who</w:t>
      </w:r>
      <w:r>
        <w:rPr>
          <w:spacing w:val="24"/>
        </w:rPr>
        <w:t> </w:t>
      </w:r>
      <w:r>
        <w:rPr/>
        <w:t>have</w:t>
      </w:r>
      <w:r>
        <w:rPr>
          <w:spacing w:val="24"/>
        </w:rPr>
        <w:t> </w:t>
      </w:r>
      <w:r>
        <w:rPr/>
        <w:t>aligned</w:t>
      </w:r>
      <w:r>
        <w:rPr>
          <w:spacing w:val="25"/>
        </w:rPr>
        <w:t> </w:t>
      </w:r>
      <w:r>
        <w:rPr/>
        <w:t>with</w:t>
      </w:r>
      <w:r>
        <w:rPr>
          <w:spacing w:val="24"/>
        </w:rPr>
        <w:t> </w:t>
      </w:r>
      <w:r>
        <w:rPr/>
        <w:t>YHVH,</w:t>
      </w:r>
      <w:r>
        <w:rPr>
          <w:spacing w:val="17"/>
        </w:rPr>
        <w:t> </w:t>
      </w:r>
      <w:r>
        <w:rPr>
          <w:rFonts w:ascii="Arial-BoldItalicMT" w:hAnsi="Arial-BoldItalicMT"/>
          <w:b/>
          <w:i/>
        </w:rPr>
        <w:t>the</w:t>
      </w:r>
      <w:r>
        <w:rPr>
          <w:rFonts w:ascii="Arial-BoldItalicMT" w:hAnsi="Arial-BoldItalicMT"/>
          <w:b/>
          <w:i/>
          <w:spacing w:val="26"/>
        </w:rPr>
        <w:t> </w:t>
      </w:r>
      <w:r>
        <w:rPr/>
        <w:t>God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Israel</w:t>
      </w:r>
      <w:r>
        <w:rPr>
          <w:spacing w:val="-59"/>
        </w:rPr>
        <w:t> </w:t>
      </w:r>
      <w:r>
        <w:rPr/>
        <w:t>have more than a hint about the destiny of land and those who will ultimately possess the entirety of the</w:t>
      </w:r>
      <w:r>
        <w:rPr>
          <w:spacing w:val="1"/>
        </w:rPr>
        <w:t> </w:t>
      </w:r>
      <w:r>
        <w:rPr/>
        <w:t>borders promised to Abraham, and can’t go wrong praying in agreement with God about that destiny.</w:t>
      </w:r>
      <w:r>
        <w:rPr>
          <w:spacing w:val="1"/>
        </w:rPr>
        <w:t> </w:t>
      </w:r>
      <w:r>
        <w:rPr/>
        <w:t>Especially with respect to Jerusalem, its eternal capital. As we agree, we reap spiritual and natural benefits</w:t>
      </w:r>
      <w:r>
        <w:rPr>
          <w:spacing w:val="1"/>
        </w:rPr>
        <w:t> </w:t>
      </w:r>
      <w:r>
        <w:rPr/>
        <w:t>from being grafted into Israel’s covenant by faith in the Messiah Yeshua/Jesus (Romans 11:17), both in this</w:t>
      </w:r>
      <w:r>
        <w:rPr>
          <w:spacing w:val="1"/>
        </w:rPr>
        <w:t> </w:t>
      </w:r>
      <w:r>
        <w:rPr/>
        <w:t>life,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promised</w:t>
      </w:r>
      <w:r>
        <w:rPr>
          <w:spacing w:val="-1"/>
        </w:rPr>
        <w:t> </w:t>
      </w:r>
      <w:r>
        <w:rPr/>
        <w:t>throughout</w:t>
      </w:r>
      <w:r>
        <w:rPr>
          <w:spacing w:val="-1"/>
        </w:rPr>
        <w:t> </w:t>
      </w:r>
      <w:r>
        <w:rPr/>
        <w:t>eternity.</w:t>
      </w:r>
    </w:p>
    <w:p>
      <w:pPr>
        <w:pStyle w:val="BodyText"/>
        <w:spacing w:line="244" w:lineRule="exact"/>
        <w:ind w:left="1310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432003</wp:posOffset>
            </wp:positionH>
            <wp:positionV relativeFrom="paragraph">
              <wp:posOffset>15669</wp:posOffset>
            </wp:positionV>
            <wp:extent cx="684009" cy="793750"/>
            <wp:effectExtent l="0" t="0" r="0" b="0"/>
            <wp:wrapNone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09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Reporting</w:t>
      </w:r>
      <w:r>
        <w:rPr>
          <w:spacing w:val="-4"/>
        </w:rPr>
        <w:t> </w:t>
      </w:r>
      <w:r>
        <w:rPr/>
        <w:t>from</w:t>
      </w:r>
      <w:r>
        <w:rPr>
          <w:spacing w:val="-2"/>
        </w:rPr>
        <w:t> </w:t>
      </w:r>
      <w:r>
        <w:rPr/>
        <w:t>Jerusalem,</w:t>
      </w:r>
    </w:p>
    <w:p>
      <w:pPr>
        <w:spacing w:line="251" w:lineRule="exact" w:before="0"/>
        <w:ind w:left="1310" w:right="0" w:firstLine="0"/>
        <w:jc w:val="both"/>
        <w:rPr>
          <w:b/>
          <w:sz w:val="22"/>
        </w:rPr>
      </w:pPr>
      <w:r>
        <w:rPr>
          <w:b/>
          <w:sz w:val="22"/>
        </w:rPr>
        <w:t>Kim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Brunson</w:t>
      </w:r>
    </w:p>
    <w:sectPr>
      <w:pgSz w:w="11910" w:h="16840"/>
      <w:pgMar w:top="680" w:bottom="280" w:left="56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Arial-BoldItalicMT">
    <w:altName w:val="Arial-BoldItalicMT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04"/>
      <w:ind w:left="106"/>
    </w:pPr>
    <w:rPr>
      <w:rFonts w:ascii="Arial" w:hAnsi="Arial" w:eastAsia="Arial" w:cs="Arial"/>
      <w:b/>
      <w:bCs/>
      <w:sz w:val="64"/>
      <w:szCs w:val="6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feedback@cfijerusalem.org" TargetMode="External"/><Relationship Id="rId8" Type="http://schemas.openxmlformats.org/officeDocument/2006/relationships/hyperlink" Target="http://www.cfijerusalem.org/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2021-12-28T09:35:55Z</dcterms:created>
  <dcterms:modified xsi:type="dcterms:W3CDTF">2021-12-28T09:35:55Z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2021-12-22T00:00:00Z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2021-12-28T00:00:00Z</vt:filetime>
  </property>
</Properties>
</file>